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8D5AD9" w14:textId="77777777" w:rsidR="00F51369" w:rsidRDefault="00106BBE" w:rsidP="00F5136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Бухарбаева Л.Я., Ибрагимова З.Ф., Франц М.У</w:t>
      </w:r>
      <w:r w:rsidR="0059643E">
        <w:rPr>
          <w:rFonts w:ascii="Times New Roman" w:hAnsi="Times New Roman" w:cs="Times New Roman"/>
          <w:b/>
          <w:sz w:val="28"/>
          <w:szCs w:val="28"/>
        </w:rPr>
        <w:t>.</w:t>
      </w:r>
      <w:r w:rsidR="00347B9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bookmarkEnd w:id="0"/>
    <w:p w14:paraId="31E2E477" w14:textId="77777777" w:rsidR="00F51369" w:rsidRDefault="00106BBE" w:rsidP="00F51369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Уфа, УГАТУ, Б</w:t>
      </w:r>
      <w:r w:rsidR="00015DCC">
        <w:rPr>
          <w:rFonts w:ascii="Times New Roman" w:hAnsi="Times New Roman" w:cs="Times New Roman"/>
          <w:i/>
          <w:sz w:val="28"/>
          <w:szCs w:val="28"/>
        </w:rPr>
        <w:t>ГУ</w:t>
      </w:r>
    </w:p>
    <w:p w14:paraId="68637475" w14:textId="77777777" w:rsidR="00F51369" w:rsidRPr="00014A05" w:rsidRDefault="006B336B" w:rsidP="00F51369">
      <w:pPr>
        <w:spacing w:after="0" w:line="240" w:lineRule="auto"/>
        <w:ind w:firstLine="709"/>
        <w:jc w:val="right"/>
        <w:rPr>
          <w:rStyle w:val="a3"/>
          <w:color w:val="auto"/>
          <w:u w:val="none"/>
        </w:rPr>
      </w:pPr>
      <w:hyperlink r:id="rId8" w:history="1">
        <w:r w:rsidR="00106BBE" w:rsidRPr="00014A0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buharbaeva</w:t>
        </w:r>
        <w:r w:rsidR="00106BBE" w:rsidRPr="00014A0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r w:rsidR="00106BBE" w:rsidRPr="00014A0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mail</w:t>
        </w:r>
        <w:r w:rsidR="00106BBE" w:rsidRPr="00014A0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106BBE" w:rsidRPr="00014A0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106BBE" w:rsidRPr="00014A05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, </w:t>
      </w:r>
      <w:hyperlink r:id="rId9" w:history="1">
        <w:r w:rsidR="00106BBE" w:rsidRPr="00014A0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badertdinova</w:t>
        </w:r>
        <w:r w:rsidR="00106BBE" w:rsidRPr="00014A0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r w:rsidR="00106BBE" w:rsidRPr="00014A0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mail</w:t>
        </w:r>
        <w:r w:rsidR="00106BBE" w:rsidRPr="00014A0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106BBE" w:rsidRPr="00014A0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106BBE" w:rsidRPr="00014A05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, </w:t>
      </w:r>
      <w:r w:rsidR="00106BBE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tan</w:t>
      </w:r>
      <w:r w:rsidR="00106BBE" w:rsidRPr="00014A05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-</w:t>
      </w:r>
      <w:r w:rsidR="00106BBE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Marina</w:t>
      </w:r>
      <w:r w:rsidR="00106BBE" w:rsidRPr="00014A05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@</w:t>
      </w:r>
      <w:r w:rsidR="00106BBE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mail</w:t>
      </w:r>
      <w:r w:rsidR="00106BBE" w:rsidRPr="00014A05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 w:rsidR="00106BBE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ru</w:t>
      </w:r>
    </w:p>
    <w:p w14:paraId="4A77946E" w14:textId="77777777" w:rsidR="001E246E" w:rsidRPr="001E246E" w:rsidRDefault="001E246E" w:rsidP="001E246E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68861753" w14:textId="77777777" w:rsidR="00106BBE" w:rsidRDefault="00106BBE" w:rsidP="00106B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BBE">
        <w:rPr>
          <w:rFonts w:ascii="Times New Roman" w:hAnsi="Times New Roman" w:cs="Times New Roman"/>
          <w:b/>
          <w:sz w:val="28"/>
          <w:szCs w:val="28"/>
        </w:rPr>
        <w:t>СПРАВЕДЛИВОЕ И НЕСПРАВЕДЛИВОЕ НЕРАВЕНСТВО ДОХОДОВ В ПОСТСОЦИАЛИСТИЧЕСКИХ СТРАНАХ</w:t>
      </w:r>
    </w:p>
    <w:p w14:paraId="7B39C369" w14:textId="77777777" w:rsidR="003F423D" w:rsidRPr="00014A05" w:rsidRDefault="003F423D" w:rsidP="001E246E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0B4D3EED" w14:textId="094CC62B" w:rsidR="00014A05" w:rsidRPr="00014A05" w:rsidRDefault="00014A05" w:rsidP="00014A0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  <w:r w:rsidRPr="00014A05">
        <w:rPr>
          <w:rFonts w:ascii="Times New Roman" w:hAnsi="Times New Roman" w:cs="Times New Roman"/>
          <w:i/>
          <w:sz w:val="24"/>
          <w:szCs w:val="28"/>
        </w:rPr>
        <w:t xml:space="preserve">Исследование выполнено при финансовой поддержке гранта РФФИ </w:t>
      </w:r>
      <w:r>
        <w:rPr>
          <w:rFonts w:ascii="Times New Roman" w:hAnsi="Times New Roman" w:cs="Times New Roman"/>
          <w:i/>
          <w:sz w:val="24"/>
          <w:szCs w:val="28"/>
        </w:rPr>
        <w:br/>
      </w:r>
      <w:r w:rsidRPr="00014A05">
        <w:rPr>
          <w:rFonts w:ascii="Times New Roman" w:hAnsi="Times New Roman" w:cs="Times New Roman"/>
          <w:i/>
          <w:sz w:val="24"/>
          <w:szCs w:val="28"/>
        </w:rPr>
        <w:t>(проект №19–010–00453).</w:t>
      </w:r>
    </w:p>
    <w:p w14:paraId="4F501EA3" w14:textId="77777777" w:rsidR="00014A05" w:rsidRPr="00014A05" w:rsidRDefault="00014A05" w:rsidP="001E246E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720A8170" w14:textId="77777777" w:rsidR="00106BBE" w:rsidRDefault="00106BBE" w:rsidP="00106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BBE">
        <w:rPr>
          <w:rFonts w:ascii="Times New Roman" w:hAnsi="Times New Roman" w:cs="Times New Roman"/>
          <w:sz w:val="28"/>
          <w:szCs w:val="28"/>
        </w:rPr>
        <w:t>Тематика социально-экономического неравенства в настоящее время является очень популярным направлением исследований. Это обусловлено тем, что уровень неравенства, плавно снижавшийся в развитых капиталистических странах после окончания Второй мировой войны где-то до 80-х годов XX века, снова н</w:t>
      </w:r>
      <w:r>
        <w:rPr>
          <w:rFonts w:ascii="Times New Roman" w:hAnsi="Times New Roman" w:cs="Times New Roman"/>
          <w:sz w:val="28"/>
          <w:szCs w:val="28"/>
        </w:rPr>
        <w:t>ачал устойчиво расти.</w:t>
      </w:r>
    </w:p>
    <w:p w14:paraId="18148DEA" w14:textId="77777777" w:rsidR="00106BBE" w:rsidRDefault="00106BBE" w:rsidP="00106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BBE">
        <w:rPr>
          <w:rFonts w:ascii="Times New Roman" w:hAnsi="Times New Roman" w:cs="Times New Roman"/>
          <w:sz w:val="28"/>
          <w:szCs w:val="28"/>
        </w:rPr>
        <w:t>Термин «неравенство» является довольно неоднозначным. Его можно понимать просто как констатацию того факта, что количество какого-либо блага (например, дохода) отличается у разных субъектов. Но гораздо чаще понятие неравенства несет в себе негативный нарратив, отражая несоответствие реального положения дел в обществе в отношении распределения какого-либо блага некоторому «идеа</w:t>
      </w:r>
      <w:r>
        <w:rPr>
          <w:rFonts w:ascii="Times New Roman" w:hAnsi="Times New Roman" w:cs="Times New Roman"/>
          <w:sz w:val="28"/>
          <w:szCs w:val="28"/>
        </w:rPr>
        <w:t>лу справедливости».</w:t>
      </w:r>
    </w:p>
    <w:p w14:paraId="679516F5" w14:textId="77777777" w:rsidR="00106BBE" w:rsidRDefault="00106BBE" w:rsidP="00106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BBE">
        <w:rPr>
          <w:rFonts w:ascii="Times New Roman" w:hAnsi="Times New Roman" w:cs="Times New Roman"/>
          <w:sz w:val="28"/>
          <w:szCs w:val="28"/>
        </w:rPr>
        <w:t>Оригинальное видение «идеала справедливости» в отношении распределения благ предлагает теория равных возможностей, сформировавшаяся в западной социа</w:t>
      </w:r>
      <w:r w:rsidR="00921DCE">
        <w:rPr>
          <w:rFonts w:ascii="Times New Roman" w:hAnsi="Times New Roman" w:cs="Times New Roman"/>
          <w:sz w:val="28"/>
          <w:szCs w:val="28"/>
        </w:rPr>
        <w:t xml:space="preserve">льной философии в конце XX века в работах </w:t>
      </w:r>
      <w:r w:rsidR="00921DCE">
        <w:rPr>
          <w:rFonts w:ascii="Times New Roman" w:hAnsi="Times New Roman" w:cs="Times New Roman"/>
          <w:sz w:val="28"/>
          <w:szCs w:val="28"/>
          <w:lang w:val="en-US"/>
        </w:rPr>
        <w:t>Rawls</w:t>
      </w:r>
      <w:r w:rsidR="00921DCE" w:rsidRPr="00921DCE">
        <w:rPr>
          <w:rFonts w:ascii="Times New Roman" w:hAnsi="Times New Roman" w:cs="Times New Roman"/>
          <w:sz w:val="28"/>
          <w:szCs w:val="28"/>
        </w:rPr>
        <w:t xml:space="preserve"> [1], </w:t>
      </w:r>
      <w:r w:rsidR="00921DCE">
        <w:rPr>
          <w:rFonts w:ascii="Times New Roman" w:hAnsi="Times New Roman" w:cs="Times New Roman"/>
          <w:sz w:val="28"/>
          <w:szCs w:val="28"/>
          <w:lang w:val="en-US"/>
        </w:rPr>
        <w:t>Arneson</w:t>
      </w:r>
      <w:r w:rsidR="00921DCE" w:rsidRPr="00921DCE">
        <w:rPr>
          <w:rFonts w:ascii="Times New Roman" w:hAnsi="Times New Roman" w:cs="Times New Roman"/>
          <w:sz w:val="28"/>
          <w:szCs w:val="28"/>
        </w:rPr>
        <w:t xml:space="preserve"> [2], </w:t>
      </w:r>
      <w:r w:rsidR="00921DCE">
        <w:rPr>
          <w:rFonts w:ascii="Times New Roman" w:hAnsi="Times New Roman" w:cs="Times New Roman"/>
          <w:sz w:val="28"/>
          <w:szCs w:val="28"/>
          <w:lang w:val="en-US"/>
        </w:rPr>
        <w:t>Cohen</w:t>
      </w:r>
      <w:r w:rsidR="00921DCE" w:rsidRPr="00921DCE">
        <w:rPr>
          <w:rFonts w:ascii="Times New Roman" w:hAnsi="Times New Roman" w:cs="Times New Roman"/>
          <w:sz w:val="28"/>
          <w:szCs w:val="28"/>
        </w:rPr>
        <w:t xml:space="preserve"> [3], </w:t>
      </w:r>
      <w:r w:rsidR="00921DCE">
        <w:rPr>
          <w:rFonts w:ascii="Times New Roman" w:hAnsi="Times New Roman" w:cs="Times New Roman"/>
          <w:sz w:val="28"/>
          <w:szCs w:val="28"/>
          <w:lang w:val="en-US"/>
        </w:rPr>
        <w:t>Roemer</w:t>
      </w:r>
      <w:r w:rsidR="00921DCE" w:rsidRPr="00921DCE">
        <w:rPr>
          <w:rFonts w:ascii="Times New Roman" w:hAnsi="Times New Roman" w:cs="Times New Roman"/>
          <w:sz w:val="28"/>
          <w:szCs w:val="28"/>
        </w:rPr>
        <w:t xml:space="preserve"> [4].</w:t>
      </w:r>
      <w:r w:rsidRPr="00106BBE">
        <w:rPr>
          <w:rFonts w:ascii="Times New Roman" w:hAnsi="Times New Roman" w:cs="Times New Roman"/>
          <w:sz w:val="28"/>
          <w:szCs w:val="28"/>
        </w:rPr>
        <w:t xml:space="preserve"> В основе этой теории лежит идея о том, что индивид должен нести ответственность за то, что он полностью контролирует. Поэтому различия в количестве блага у разных индивидов, обусловленные зависящими от индивида факторами (называемыми факторами–усилиями), справедливы. Напротив, различия в количестве блага, обусловленные факторами вне индивидуального контроля (называемыми факторами–обстоятельствами), несправедливы и подлежат компенсации. Таким образом, с точки зрения теории равных возможностей «идеал справедливости» состоит в том, чтобы неравенство, обусловленное независимыми от индивида обстоятельствами (называемое неравенством возможностей) было полностью скомпенсировано, а усилия, напротив, достойно вознаграждались.</w:t>
      </w:r>
    </w:p>
    <w:p w14:paraId="5D9EA3BF" w14:textId="77777777" w:rsidR="005F74B1" w:rsidRPr="00921DCE" w:rsidRDefault="005F74B1" w:rsidP="00574B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4B1">
        <w:rPr>
          <w:rFonts w:ascii="Times New Roman" w:hAnsi="Times New Roman" w:cs="Times New Roman"/>
          <w:sz w:val="28"/>
          <w:szCs w:val="28"/>
        </w:rPr>
        <w:t>Целью данной работы является измерение неравенства возможностей в постсоциалистических странах на данных социологического опроса LiTS-III. LiTS (Life in Transition Survey) – это повторяюшийся социологический опрос, проводимый Европейским банком реконструкции и р</w:t>
      </w:r>
      <w:r w:rsidR="00B202E2">
        <w:rPr>
          <w:rFonts w:ascii="Times New Roman" w:hAnsi="Times New Roman" w:cs="Times New Roman"/>
          <w:sz w:val="28"/>
          <w:szCs w:val="28"/>
        </w:rPr>
        <w:t>азвития. Опрос LITS III проводил</w:t>
      </w:r>
      <w:r w:rsidRPr="005F74B1">
        <w:rPr>
          <w:rFonts w:ascii="Times New Roman" w:hAnsi="Times New Roman" w:cs="Times New Roman"/>
          <w:sz w:val="28"/>
          <w:szCs w:val="28"/>
        </w:rPr>
        <w:t xml:space="preserve">ся в 34 странах (Албания, Армения, Азербайджан, Белорусь, Босния и Герцеговина, Болгария, Хорватия, Кипр, Чешская Республика, Эстония, Македония, Грузия, Германия, Греция, Венгрия, Италия, Казахстан, Косово, Киргизия, Литва, Латвия, Молдова, Монголия, </w:t>
      </w:r>
      <w:r w:rsidRPr="005F74B1">
        <w:rPr>
          <w:rFonts w:ascii="Times New Roman" w:hAnsi="Times New Roman" w:cs="Times New Roman"/>
          <w:sz w:val="28"/>
          <w:szCs w:val="28"/>
        </w:rPr>
        <w:lastRenderedPageBreak/>
        <w:t>Черногория, Польша, Румыния, Россия, Сербия, Словакия, Словения, Таджикистан, Турция, Украина, Узбекистан).</w:t>
      </w:r>
      <w:r w:rsidR="00921DCE" w:rsidRPr="00921DCE">
        <w:rPr>
          <w:rFonts w:ascii="Times New Roman" w:hAnsi="Times New Roman" w:cs="Times New Roman"/>
          <w:sz w:val="28"/>
          <w:szCs w:val="28"/>
        </w:rPr>
        <w:t xml:space="preserve"> </w:t>
      </w:r>
      <w:r w:rsidR="00921DCE">
        <w:rPr>
          <w:rFonts w:ascii="Times New Roman" w:hAnsi="Times New Roman" w:cs="Times New Roman"/>
          <w:sz w:val="28"/>
          <w:szCs w:val="28"/>
        </w:rPr>
        <w:t xml:space="preserve">Данные этого опроса находятся в свободном доступе на сайте </w:t>
      </w:r>
      <w:r w:rsidR="00921DCE" w:rsidRPr="00921DCE">
        <w:rPr>
          <w:rFonts w:ascii="Times New Roman" w:hAnsi="Times New Roman" w:cs="Times New Roman"/>
          <w:sz w:val="28"/>
          <w:szCs w:val="28"/>
        </w:rPr>
        <w:t>https://www.ebrd.com/what-we-do/economic-research-and-data/data/lits.html</w:t>
      </w:r>
      <w:r w:rsidR="00921DCE">
        <w:rPr>
          <w:rFonts w:ascii="Times New Roman" w:hAnsi="Times New Roman" w:cs="Times New Roman"/>
          <w:sz w:val="28"/>
          <w:szCs w:val="28"/>
        </w:rPr>
        <w:t>.</w:t>
      </w:r>
    </w:p>
    <w:p w14:paraId="29FCC20F" w14:textId="77777777" w:rsidR="00574BF4" w:rsidRDefault="00574BF4" w:rsidP="00574B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4B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Общее количество респондентов в опросе LITS III по каждой стране составляет приблизительно 1500. Однако в данных достаточно много пропусков. После удаления респондентов с пропусками в данных и ограничении выборки респондентами в возрасте 18-65 лет объем выборки сократился втрое, по некоторым странам объем выборки уменьшился очень значительно. В связи с этим мы ограничились </w:t>
      </w:r>
      <w:r w:rsidR="00B202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постсоциалистическими </w:t>
      </w:r>
      <w:r w:rsidRPr="00574B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странами, по которым количество наблюдений получи</w:t>
      </w:r>
      <w:r w:rsidR="003E07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лось не менее 400 респондентов (</w:t>
      </w:r>
      <w:r w:rsidR="00921DCE" w:rsidRPr="00921D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Беларусь, Болгария, Хорватия, Чехия, Эстония, Германия, Венгрия, Казахстан, Латвия, Литва, Монголия, Россия, Словакия</w:t>
      </w:r>
      <w:r w:rsidR="003E07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921D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60AD93F6" w14:textId="77777777" w:rsidR="00574BF4" w:rsidRPr="00E91F12" w:rsidRDefault="00E91F12" w:rsidP="00574B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Факторы</w:t>
      </w:r>
      <w:r w:rsidRPr="00E91F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–обстоятельств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а, доступные в опросе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LiTS</w:t>
      </w:r>
      <w:r w:rsidRPr="00E91F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включают</w:t>
      </w:r>
      <w:r w:rsidRPr="00E91F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образование родителей, место рождения, пол, национальность индивида.</w:t>
      </w:r>
      <w:r w:rsidR="00B202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качестве переменной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достижения </w:t>
      </w:r>
      <w:r w:rsidRPr="00E91F12">
        <w:rPr>
          <w:rFonts w:ascii="Times New Roman" w:hAnsi="Times New Roman" w:cs="Times New Roman"/>
          <w:sz w:val="28"/>
          <w:szCs w:val="28"/>
        </w:rPr>
        <w:t>был использован месячный трудовой доход после налогообложения (рассчитан на основе вопросов 5.17 «Как часто Вы получаете вознаграждение за свой труд?» и 5.18 «Каков обычно размер вознаграждения за указанный период?»).</w:t>
      </w:r>
    </w:p>
    <w:p w14:paraId="7E122E63" w14:textId="77777777" w:rsidR="00574BF4" w:rsidRPr="003234EA" w:rsidRDefault="004A4230" w:rsidP="00574B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настоящее время разработано много методов оценки неравенства возможностей, прекрасный обзор которых можно найти в работе </w:t>
      </w:r>
      <w:r w:rsidRPr="004A42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[5]. </w:t>
      </w:r>
      <w:r w:rsidR="00E91F12"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Методика</w:t>
      </w:r>
      <w:r w:rsidR="00574BF4"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которую мы использовали в этом исследовании, впервые была </w:t>
      </w:r>
      <w:r w:rsidR="00BD79B4">
        <w:rPr>
          <w:rFonts w:ascii="Times New Roman" w:hAnsi="Times New Roman" w:cs="Times New Roman"/>
          <w:sz w:val="28"/>
          <w:szCs w:val="28"/>
        </w:rPr>
        <w:t>предложена в работе [</w:t>
      </w:r>
      <w:r>
        <w:rPr>
          <w:rFonts w:ascii="Times New Roman" w:hAnsi="Times New Roman" w:cs="Times New Roman"/>
          <w:sz w:val="28"/>
          <w:szCs w:val="28"/>
        </w:rPr>
        <w:t>6</w:t>
      </w:r>
      <w:r w:rsidR="00BD79B4">
        <w:rPr>
          <w:rFonts w:ascii="Times New Roman" w:hAnsi="Times New Roman" w:cs="Times New Roman"/>
          <w:sz w:val="28"/>
          <w:szCs w:val="28"/>
        </w:rPr>
        <w:t>]</w:t>
      </w:r>
      <w:r w:rsidR="00574BF4" w:rsidRPr="003234EA">
        <w:rPr>
          <w:rFonts w:ascii="Times New Roman" w:hAnsi="Times New Roman" w:cs="Times New Roman"/>
          <w:sz w:val="28"/>
          <w:szCs w:val="28"/>
        </w:rPr>
        <w:t>, и</w:t>
      </w:r>
      <w:r w:rsidR="00B202E2">
        <w:rPr>
          <w:rFonts w:ascii="Times New Roman" w:hAnsi="Times New Roman" w:cs="Times New Roman"/>
          <w:sz w:val="28"/>
          <w:szCs w:val="28"/>
        </w:rPr>
        <w:t>,</w:t>
      </w:r>
      <w:r w:rsidR="00574BF4" w:rsidRPr="003234EA">
        <w:rPr>
          <w:rFonts w:ascii="Times New Roman" w:hAnsi="Times New Roman" w:cs="Times New Roman"/>
          <w:sz w:val="28"/>
          <w:szCs w:val="28"/>
        </w:rPr>
        <w:t xml:space="preserve"> по нашему мнению</w:t>
      </w:r>
      <w:r w:rsidR="00B202E2">
        <w:rPr>
          <w:rFonts w:ascii="Times New Roman" w:hAnsi="Times New Roman" w:cs="Times New Roman"/>
          <w:sz w:val="28"/>
          <w:szCs w:val="28"/>
        </w:rPr>
        <w:t>,</w:t>
      </w:r>
      <w:r w:rsidR="00574BF4" w:rsidRPr="003234EA">
        <w:rPr>
          <w:rFonts w:ascii="Times New Roman" w:hAnsi="Times New Roman" w:cs="Times New Roman"/>
          <w:sz w:val="28"/>
          <w:szCs w:val="28"/>
        </w:rPr>
        <w:t xml:space="preserve"> является в настоящее время самым популярным инструментом, использующимся в практике изме</w:t>
      </w:r>
      <w:r w:rsidR="00E91F12" w:rsidRPr="003234EA">
        <w:rPr>
          <w:rFonts w:ascii="Times New Roman" w:hAnsi="Times New Roman" w:cs="Times New Roman"/>
          <w:sz w:val="28"/>
          <w:szCs w:val="28"/>
        </w:rPr>
        <w:t>рения неравенства возможностей.</w:t>
      </w:r>
    </w:p>
    <w:p w14:paraId="1A8A8CFE" w14:textId="77777777" w:rsidR="00574BF4" w:rsidRPr="003234EA" w:rsidRDefault="00E91F12" w:rsidP="00574B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первом этапе выполняется оценка уравнения регрессии индивидуального достижения на факторы- обстоятельства. П</w:t>
      </w:r>
      <w:r w:rsidR="00574BF4"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рактически во всех работах по неравенству возможностей, использующих в качестве показателя достижения личный доход или заработок индивида, применяется по</w:t>
      </w:r>
      <w:r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лулогарифмическая форма связи (</w:t>
      </w:r>
      <w:r w:rsidR="00574BF4"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1).</w:t>
      </w:r>
    </w:p>
    <w:p w14:paraId="504FBE05" w14:textId="77777777" w:rsidR="00574BF4" w:rsidRPr="003234EA" w:rsidRDefault="006B336B" w:rsidP="00574B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m:oMath>
        <m:func>
          <m:funcPr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  <w:lang w:eastAsia="ru-RU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ln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bCs/>
                    <w:i/>
                    <w:sz w:val="28"/>
                    <w:szCs w:val="28"/>
                    <w:lang w:eastAsia="ru-RU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y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i</m:t>
                    </m:r>
                  </m:sub>
                </m:sSub>
              </m:e>
            </m:d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∙α+</m:t>
        </m:r>
        <m:sSub>
          <m:sSubPr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u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</m:t>
            </m:r>
          </m:sub>
        </m:sSub>
      </m:oMath>
      <w:r w:rsidR="00574BF4"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574BF4"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574BF4"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574BF4"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574BF4"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574BF4"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E91F12"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E91F12"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</w:t>
      </w:r>
      <w:r w:rsidR="00574BF4"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</w:t>
      </w:r>
    </w:p>
    <w:p w14:paraId="1E39A62D" w14:textId="77777777" w:rsidR="00574BF4" w:rsidRPr="003234EA" w:rsidRDefault="00E91F12" w:rsidP="00574B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уравнении (</w:t>
      </w:r>
      <w:r w:rsidR="00574BF4"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 </w:t>
      </w: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y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</m:t>
            </m:r>
          </m:sub>
        </m:sSub>
      </m:oMath>
      <w:r w:rsidR="00574BF4"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достижение </w:t>
      </w:r>
      <w:r w:rsidR="00574BF4" w:rsidRPr="003234EA"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>i</w:t>
      </w:r>
      <w:r w:rsidR="00574BF4"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-го индивида, </w:t>
      </w:r>
      <w:r w:rsidR="00574BF4"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ym w:font="Symbol" w:char="F061"/>
      </w:r>
      <w:r w:rsidR="00574BF4"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— вектор регрессионных коэффициентов, </w:t>
      </w: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</m:t>
            </m:r>
          </m:sub>
        </m:sSub>
      </m:oMath>
      <w:r w:rsidR="00574BF4"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вектор значений факторов- обстоятельств, </w:t>
      </w: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u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</m:t>
            </m:r>
          </m:sub>
        </m:sSub>
      </m:oMath>
      <w:r w:rsidR="00574BF4"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случайная ошибка, инкапсулирующая влияние ненаблюдаемых факторов, в том числе усилий, на индивидуальное достижение.</w:t>
      </w:r>
    </w:p>
    <w:p w14:paraId="24A8D674" w14:textId="77777777" w:rsidR="00574BF4" w:rsidRPr="004232BB" w:rsidRDefault="00574BF4" w:rsidP="00574B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Вариация</w:t>
      </w:r>
      <w:r w:rsidR="00E91F12"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прогнозных значений</w:t>
      </w:r>
      <w:r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m:oMath>
        <m:acc>
          <m:accPr>
            <m:ctrlPr>
              <w:rPr>
                <w:rFonts w:ascii="Cambria Math" w:eastAsia="Times New Roman" w:hAnsi="Cambria Math" w:cs="Times New Roman"/>
                <w:bCs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bCs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y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i</m:t>
                </m:r>
              </m:sub>
            </m:sSub>
          </m:e>
        </m:acc>
      </m:oMath>
      <w:r w:rsidR="00E91F12"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рассчитываемых по модели (1), </w:t>
      </w:r>
      <w:r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обусловлена только вариацией включенных в</w:t>
      </w:r>
      <w:r w:rsidR="003234EA"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модель факторов–обстоятельств. В случае равенства возможностей средние достижения индивидов при любом наборе значений факторов- обстоятельств должны быть одинаковы, поэтому «в идеале» вариации в распределении </w:t>
      </w:r>
      <m:oMath>
        <m:acc>
          <m:accPr>
            <m:ctrlPr>
              <w:rPr>
                <w:rFonts w:ascii="Cambria Math" w:eastAsia="Times New Roman" w:hAnsi="Cambria Math" w:cs="Times New Roman"/>
                <w:bCs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bCs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y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i</m:t>
                </m:r>
              </m:sub>
            </m:sSub>
          </m:e>
        </m:acc>
      </m:oMath>
      <w:r w:rsidR="003234EA"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быть не должно. Для оценки неравенства возможностей</w:t>
      </w:r>
      <w:r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234EA"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</w:t>
      </w:r>
      <w:r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использованием какой–либо меры неравенства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I</m:t>
        </m:r>
      </m:oMath>
      <w:r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оценивается неравенство в распределении </w:t>
      </w:r>
      <m:oMath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bCs/>
                <w:sz w:val="28"/>
                <w:szCs w:val="28"/>
                <w:lang w:eastAsia="ru-RU"/>
              </w:rPr>
            </m:ctrlPr>
          </m:dPr>
          <m:e>
            <m:acc>
              <m:accPr>
                <m:ctrlPr>
                  <w:rPr>
                    <w:rFonts w:ascii="Cambria Math" w:eastAsia="Times New Roman" w:hAnsi="Cambria Math" w:cs="Times New Roman"/>
                    <w:bCs/>
                    <w:sz w:val="28"/>
                    <w:szCs w:val="28"/>
                    <w:lang w:eastAsia="ru-RU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bCs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y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i</m:t>
                    </m:r>
                  </m:sub>
                </m:sSub>
              </m:e>
            </m:acc>
          </m:e>
        </m:d>
      </m:oMath>
      <w:r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и </w:t>
      </w:r>
      <w:r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величина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I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(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bCs/>
                <w:sz w:val="28"/>
                <w:szCs w:val="28"/>
                <w:lang w:eastAsia="ru-RU"/>
              </w:rPr>
            </m:ctrlPr>
          </m:dPr>
          <m:e>
            <m:acc>
              <m:accPr>
                <m:ctrlPr>
                  <w:rPr>
                    <w:rFonts w:ascii="Cambria Math" w:eastAsia="Times New Roman" w:hAnsi="Cambria Math" w:cs="Times New Roman"/>
                    <w:bCs/>
                    <w:sz w:val="28"/>
                    <w:szCs w:val="28"/>
                    <w:lang w:eastAsia="ru-RU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bCs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y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i</m:t>
                    </m:r>
                  </m:sub>
                </m:sSub>
              </m:e>
            </m:acc>
          </m:e>
        </m:d>
      </m:oMath>
      <w:r w:rsidR="003234EA" w:rsidRPr="00323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</w:t>
      </w:r>
      <w:r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абсолютной меры неравенства возможностей. Для оценки вклада неравенства возможностей в неравенство достижения рассчитывают относительную меру неравенства возможностей по формуле </w:t>
      </w:r>
      <m:oMath>
        <m:sSub>
          <m:sSubPr>
            <m:ctrlPr>
              <w:rPr>
                <w:rFonts w:ascii="Cambria Math" w:eastAsia="Times New Roman" w:hAnsi="Cambria Math" w:cs="Times New Roman"/>
                <w:bCs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θ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type m:val="lin"/>
            <m:ctrlPr>
              <w:rPr>
                <w:rFonts w:ascii="Cambria Math" w:eastAsia="Times New Roman" w:hAnsi="Cambria Math" w:cs="Times New Roman"/>
                <w:bCs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(</m:t>
            </m:r>
            <m:d>
              <m:dPr>
                <m:begChr m:val="{"/>
                <m:endChr m:val="}"/>
                <m:ctrlPr>
                  <w:rPr>
                    <w:rFonts w:ascii="Cambria Math" w:eastAsia="Times New Roman" w:hAnsi="Cambria Math" w:cs="Times New Roman"/>
                    <w:bCs/>
                    <w:sz w:val="28"/>
                    <w:szCs w:val="28"/>
                    <w:lang w:eastAsia="ru-RU"/>
                  </w:rPr>
                </m:ctrlPr>
              </m:dPr>
              <m:e>
                <m:acc>
                  <m:accPr>
                    <m:ctrlPr>
                      <w:rPr>
                        <w:rFonts w:ascii="Cambria Math" w:eastAsia="Times New Roman" w:hAnsi="Cambria Math" w:cs="Times New Roman"/>
                        <w:bCs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Cs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i</m:t>
                        </m:r>
                      </m:sub>
                    </m:sSub>
                  </m:e>
                </m:acc>
              </m:e>
            </m:d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)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(</m:t>
            </m:r>
            <m:d>
              <m:dPr>
                <m:begChr m:val="{"/>
                <m:endChr m:val="}"/>
                <m:ctrlPr>
                  <w:rPr>
                    <w:rFonts w:ascii="Cambria Math" w:eastAsia="Times New Roman" w:hAnsi="Cambria Math" w:cs="Times New Roman"/>
                    <w:bCs/>
                    <w:sz w:val="28"/>
                    <w:szCs w:val="28"/>
                    <w:lang w:eastAsia="ru-RU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bCs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y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i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)</m:t>
            </m:r>
          </m:den>
        </m:f>
      </m:oMath>
      <w:r w:rsidRPr="003234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4232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нашей работе в качестве индекса </w:t>
      </w:r>
      <w:r w:rsidR="004232BB" w:rsidRPr="004232BB"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>I</w:t>
      </w:r>
      <w:r w:rsidR="004232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было использовано среднее логарифмическое отклонение- наиболее популярная в исследованиях по неравенству возможностей мера неравенства.</w:t>
      </w:r>
    </w:p>
    <w:p w14:paraId="7C37EC44" w14:textId="77777777" w:rsidR="00B60EA3" w:rsidRDefault="00B60EA3" w:rsidP="00942B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неравенства возможностей приведены в таблице 1</w:t>
      </w:r>
      <w:r w:rsidR="00803EAF">
        <w:rPr>
          <w:rFonts w:ascii="Times New Roman" w:hAnsi="Times New Roman" w:cs="Times New Roman"/>
          <w:sz w:val="28"/>
          <w:szCs w:val="28"/>
        </w:rPr>
        <w:t xml:space="preserve"> и на рисунке 1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86FDB87" w14:textId="77777777" w:rsidR="00B60EA3" w:rsidRDefault="00B60EA3" w:rsidP="00B60EA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</w:t>
      </w:r>
    </w:p>
    <w:p w14:paraId="46457008" w14:textId="77777777" w:rsidR="00B60EA3" w:rsidRDefault="00B60EA3" w:rsidP="00B60E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оценки неравенства возможностей </w:t>
      </w:r>
    </w:p>
    <w:p w14:paraId="70E7C044" w14:textId="77777777" w:rsidR="00B60EA3" w:rsidRDefault="00B60EA3" w:rsidP="00B60E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постсоциалистических странах</w:t>
      </w:r>
    </w:p>
    <w:tbl>
      <w:tblPr>
        <w:tblW w:w="9173" w:type="dxa"/>
        <w:tblInd w:w="113" w:type="dxa"/>
        <w:tblLook w:val="04A0" w:firstRow="1" w:lastRow="0" w:firstColumn="1" w:lastColumn="0" w:noHBand="0" w:noVBand="1"/>
      </w:tblPr>
      <w:tblGrid>
        <w:gridCol w:w="1653"/>
        <w:gridCol w:w="1671"/>
        <w:gridCol w:w="1828"/>
        <w:gridCol w:w="1854"/>
        <w:gridCol w:w="2167"/>
      </w:tblGrid>
      <w:tr w:rsidR="004A4230" w:rsidRPr="00B60EA3" w14:paraId="0FA433DE" w14:textId="77777777" w:rsidTr="00C75EA4">
        <w:trPr>
          <w:trHeight w:val="255"/>
        </w:trPr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7D6FC" w14:textId="77777777" w:rsidR="004A4230" w:rsidRPr="00B60EA3" w:rsidRDefault="004A4230" w:rsidP="00C75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Страна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F32C6" w14:textId="77777777" w:rsidR="004A4230" w:rsidRPr="00B60EA3" w:rsidRDefault="004A4230" w:rsidP="00C75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Неравенство возможностей</w:t>
            </w: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BBCBB" w14:textId="77777777" w:rsidR="004A4230" w:rsidRPr="00B60EA3" w:rsidRDefault="004A4230" w:rsidP="00C75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Рейтинг по неравенству возможностей</w:t>
            </w:r>
          </w:p>
        </w:tc>
      </w:tr>
      <w:tr w:rsidR="004A4230" w:rsidRPr="00B60EA3" w14:paraId="090B3F44" w14:textId="77777777" w:rsidTr="00C75EA4">
        <w:trPr>
          <w:trHeight w:val="255"/>
        </w:trPr>
        <w:tc>
          <w:tcPr>
            <w:tcW w:w="1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68EA3" w14:textId="77777777" w:rsidR="004A4230" w:rsidRPr="00B60EA3" w:rsidRDefault="004A4230" w:rsidP="00C75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AC586" w14:textId="77777777" w:rsidR="004A4230" w:rsidRPr="00B60EA3" w:rsidRDefault="004A4230" w:rsidP="00C75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Абсолютн.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89C5E" w14:textId="77777777" w:rsidR="004A4230" w:rsidRPr="00B60EA3" w:rsidRDefault="004A4230" w:rsidP="00C75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Относит.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39133" w14:textId="77777777" w:rsidR="004A4230" w:rsidRPr="00B60EA3" w:rsidRDefault="004A4230" w:rsidP="00C75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Абсолютн.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61D34" w14:textId="77777777" w:rsidR="004A4230" w:rsidRPr="00B60EA3" w:rsidRDefault="004A4230" w:rsidP="00C75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Относит.</w:t>
            </w:r>
          </w:p>
        </w:tc>
      </w:tr>
      <w:tr w:rsidR="004A4230" w:rsidRPr="00B60EA3" w14:paraId="3297568F" w14:textId="77777777" w:rsidTr="00C75EA4">
        <w:trPr>
          <w:trHeight w:val="255"/>
        </w:trPr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6D26C" w14:textId="77777777" w:rsidR="004A4230" w:rsidRPr="00B60EA3" w:rsidRDefault="004A4230" w:rsidP="00C75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Беларусь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32DFC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0,0165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7F198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7,12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C0DEA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E9E9A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4A4230" w:rsidRPr="00B60EA3" w14:paraId="14B2F89D" w14:textId="77777777" w:rsidTr="00C75EA4">
        <w:trPr>
          <w:trHeight w:val="255"/>
        </w:trPr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072E7" w14:textId="77777777" w:rsidR="004A4230" w:rsidRPr="00B60EA3" w:rsidRDefault="004A4230" w:rsidP="00C75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Болгария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508A6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0,0194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97E2F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6,68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A7530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EA169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4A4230" w:rsidRPr="00B60EA3" w14:paraId="21206CA3" w14:textId="77777777" w:rsidTr="00C75EA4">
        <w:trPr>
          <w:trHeight w:val="255"/>
        </w:trPr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84CBE" w14:textId="77777777" w:rsidR="004A4230" w:rsidRPr="00B60EA3" w:rsidRDefault="004A4230" w:rsidP="00C75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Хорватия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4E738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0,0107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73327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14,83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2108B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1993C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A4230" w:rsidRPr="00B60EA3" w14:paraId="183D645E" w14:textId="77777777" w:rsidTr="00C75EA4">
        <w:trPr>
          <w:trHeight w:val="255"/>
        </w:trPr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47AE2" w14:textId="77777777" w:rsidR="004A4230" w:rsidRPr="00B60EA3" w:rsidRDefault="004A4230" w:rsidP="00C75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Чехия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B2FDC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0,0108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7B2DB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14,45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574A4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8A5CD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4A4230" w:rsidRPr="00B60EA3" w14:paraId="3F26C6BF" w14:textId="77777777" w:rsidTr="00C75EA4">
        <w:trPr>
          <w:trHeight w:val="255"/>
        </w:trPr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03B27" w14:textId="77777777" w:rsidR="004A4230" w:rsidRPr="00B60EA3" w:rsidRDefault="004A4230" w:rsidP="00C75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Эстония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9F035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0,0399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117A0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26,17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4102C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D208F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A4230" w:rsidRPr="00B60EA3" w14:paraId="5026C6DB" w14:textId="77777777" w:rsidTr="00C75EA4">
        <w:trPr>
          <w:trHeight w:val="255"/>
        </w:trPr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35B16" w14:textId="77777777" w:rsidR="004A4230" w:rsidRPr="00B60EA3" w:rsidRDefault="004A4230" w:rsidP="00C75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Германия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A42B2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0,0083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D6920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7,52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6CEE3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BA147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4A4230" w:rsidRPr="00B60EA3" w14:paraId="470517BE" w14:textId="77777777" w:rsidTr="00C75EA4">
        <w:trPr>
          <w:trHeight w:val="255"/>
        </w:trPr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7A3E2" w14:textId="77777777" w:rsidR="004A4230" w:rsidRPr="00B60EA3" w:rsidRDefault="004A4230" w:rsidP="00C75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Венгрия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71DA0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0,0156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834CE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13,98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E86B9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3306A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4A4230" w:rsidRPr="00B60EA3" w14:paraId="0E4F4277" w14:textId="77777777" w:rsidTr="00C75EA4">
        <w:trPr>
          <w:trHeight w:val="255"/>
        </w:trPr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CA792" w14:textId="77777777" w:rsidR="004A4230" w:rsidRPr="00B60EA3" w:rsidRDefault="004A4230" w:rsidP="00C75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Казахстан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553D2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0,0174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D7993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4,54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DF7E3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B8020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4A4230" w:rsidRPr="00B60EA3" w14:paraId="29764689" w14:textId="77777777" w:rsidTr="00C75EA4">
        <w:trPr>
          <w:trHeight w:val="255"/>
        </w:trPr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585DB" w14:textId="77777777" w:rsidR="004A4230" w:rsidRPr="00B60EA3" w:rsidRDefault="004A4230" w:rsidP="00C75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Латвия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CE5FE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0,0295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02D65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15,95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A59BA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10CD6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A4230" w:rsidRPr="00B60EA3" w14:paraId="605C676A" w14:textId="77777777" w:rsidTr="00C75EA4">
        <w:trPr>
          <w:trHeight w:val="255"/>
        </w:trPr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CB29D" w14:textId="77777777" w:rsidR="004A4230" w:rsidRPr="00B60EA3" w:rsidRDefault="004A4230" w:rsidP="00C75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Литва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CF764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0,0193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BA6AC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10,16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5EB53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1BD00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4A4230" w:rsidRPr="00B60EA3" w14:paraId="71BF9AA4" w14:textId="77777777" w:rsidTr="00C75EA4">
        <w:trPr>
          <w:trHeight w:val="255"/>
        </w:trPr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8331C" w14:textId="77777777" w:rsidR="004A4230" w:rsidRPr="00B60EA3" w:rsidRDefault="004A4230" w:rsidP="00C75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Монголия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D9EB2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0,0256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E1797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13,07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BB852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B1209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4A4230" w:rsidRPr="00B60EA3" w14:paraId="04B7A7AC" w14:textId="77777777" w:rsidTr="00C75EA4">
        <w:trPr>
          <w:trHeight w:val="255"/>
        </w:trPr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C6855" w14:textId="77777777" w:rsidR="004A4230" w:rsidRPr="00B60EA3" w:rsidRDefault="004A4230" w:rsidP="00C75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B6E4E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0,0214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36F9E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10,02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DCC99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EFF5F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4A4230" w:rsidRPr="00B60EA3" w14:paraId="74FE1D94" w14:textId="77777777" w:rsidTr="00C75EA4">
        <w:trPr>
          <w:trHeight w:val="255"/>
        </w:trPr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821E4" w14:textId="77777777" w:rsidR="004A4230" w:rsidRPr="00B60EA3" w:rsidRDefault="004A4230" w:rsidP="00C75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Словакия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8E858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0,0118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63A81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12,79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F4C18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6F768" w14:textId="77777777" w:rsidR="004A4230" w:rsidRPr="00B60EA3" w:rsidRDefault="004A4230" w:rsidP="00C7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14:paraId="53C1BDEF" w14:textId="77777777" w:rsidR="004A4230" w:rsidRDefault="004A4230" w:rsidP="004A4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A06DBD" w14:textId="77777777" w:rsidR="004A4230" w:rsidRDefault="004A4230" w:rsidP="004A4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следует из расчетов, среди рассматриваемых стран наибольшее неравенство возможностей, как абсолютное, так и относительное, наблюдается в Эстонии. На втором месте находится Латвия. Россия по абсолютному неравенству возможностей занимает «высокое» четвертое место, по относительному неравенству возможностей – девятое. Наименьший уровень неравенства возможностей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в Германии.</w:t>
      </w:r>
    </w:p>
    <w:p w14:paraId="079EC56E" w14:textId="77777777" w:rsidR="004A4230" w:rsidRDefault="004A4230" w:rsidP="004A4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из таблицы 1, позиция страны в рейтинге по абсолютному неравенству может сильно отличаться от ее позиции в рейтинге по относительному неравенству возможностей, что ставит вопрос о том, на какой из показателей следует ориентироваться.</w:t>
      </w:r>
    </w:p>
    <w:p w14:paraId="7108B14C" w14:textId="77777777" w:rsidR="004A4230" w:rsidRDefault="004A4230" w:rsidP="00B60E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86B47B" w14:textId="77777777" w:rsidR="00DD44B3" w:rsidRDefault="00DD44B3" w:rsidP="00DD4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34305F42" wp14:editId="3EC330BE">
            <wp:extent cx="5899785" cy="3291840"/>
            <wp:effectExtent l="0" t="0" r="5715" b="381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4BC6C6E6" w14:textId="77777777" w:rsidR="00FC795F" w:rsidRDefault="00FC795F" w:rsidP="00D713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558D">
        <w:rPr>
          <w:rFonts w:ascii="Times New Roman" w:hAnsi="Times New Roman" w:cs="Times New Roman"/>
          <w:b/>
          <w:sz w:val="24"/>
          <w:szCs w:val="24"/>
        </w:rPr>
        <w:t xml:space="preserve">Рис.1. </w:t>
      </w:r>
      <w:r w:rsidR="00DD44B3" w:rsidRPr="00014A05">
        <w:rPr>
          <w:rFonts w:ascii="Times New Roman" w:hAnsi="Times New Roman" w:cs="Times New Roman"/>
          <w:sz w:val="24"/>
          <w:szCs w:val="24"/>
        </w:rPr>
        <w:t>Абсолютное и относительное неравенство возможностей</w:t>
      </w:r>
    </w:p>
    <w:p w14:paraId="23C934E8" w14:textId="77777777" w:rsidR="0032073B" w:rsidRPr="00DD44B3" w:rsidRDefault="0075007B" w:rsidP="008364D8">
      <w:pPr>
        <w:spacing w:after="0" w:line="240" w:lineRule="auto"/>
        <w:jc w:val="center"/>
        <w:rPr>
          <w:rFonts w:ascii="Times New Roman" w:hAnsi="Times New Roman" w:cs="Times New Roman"/>
          <w:i/>
          <w:color w:val="212121"/>
          <w:sz w:val="24"/>
          <w:szCs w:val="24"/>
        </w:rPr>
      </w:pPr>
      <w:r w:rsidRPr="0075007B">
        <w:rPr>
          <w:rFonts w:ascii="Times New Roman" w:hAnsi="Times New Roman" w:cs="Times New Roman"/>
          <w:i/>
          <w:color w:val="212121"/>
          <w:sz w:val="24"/>
          <w:szCs w:val="24"/>
        </w:rPr>
        <w:t>Построено авторами по данным</w:t>
      </w:r>
      <w:r>
        <w:rPr>
          <w:rFonts w:ascii="Times New Roman" w:hAnsi="Times New Roman" w:cs="Times New Roman"/>
          <w:i/>
          <w:color w:val="212121"/>
          <w:sz w:val="24"/>
          <w:szCs w:val="24"/>
        </w:rPr>
        <w:t xml:space="preserve"> </w:t>
      </w:r>
      <w:r w:rsidR="00DD44B3">
        <w:rPr>
          <w:rFonts w:ascii="Times New Roman" w:hAnsi="Times New Roman" w:cs="Times New Roman"/>
          <w:i/>
          <w:color w:val="212121"/>
          <w:sz w:val="24"/>
          <w:szCs w:val="24"/>
          <w:lang w:val="en-US"/>
        </w:rPr>
        <w:t>LiTS</w:t>
      </w:r>
      <w:r w:rsidR="00DD44B3" w:rsidRPr="00DD44B3">
        <w:rPr>
          <w:rFonts w:ascii="Times New Roman" w:hAnsi="Times New Roman" w:cs="Times New Roman"/>
          <w:i/>
          <w:color w:val="212121"/>
          <w:sz w:val="24"/>
          <w:szCs w:val="24"/>
        </w:rPr>
        <w:t>-</w:t>
      </w:r>
      <w:r w:rsidR="00DD44B3">
        <w:rPr>
          <w:rFonts w:ascii="Times New Roman" w:hAnsi="Times New Roman" w:cs="Times New Roman"/>
          <w:i/>
          <w:color w:val="212121"/>
          <w:sz w:val="24"/>
          <w:szCs w:val="24"/>
          <w:lang w:val="en-US"/>
        </w:rPr>
        <w:t>III</w:t>
      </w:r>
    </w:p>
    <w:p w14:paraId="78FF6977" w14:textId="77777777" w:rsidR="00B202E2" w:rsidRDefault="00B202E2" w:rsidP="00B677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7DFB7B" w14:textId="77777777" w:rsidR="00467F96" w:rsidRDefault="00103159" w:rsidP="00B677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Корреляционный анализ неравенства доходов и абсолютного неравенства возможностей показывает, что связь между этими показателям</w:t>
      </w:r>
      <w:r w:rsidR="00F0139F">
        <w:rPr>
          <w:rFonts w:ascii="Times New Roman" w:hAnsi="Times New Roman" w:cs="Times New Roman"/>
          <w:sz w:val="28"/>
          <w:szCs w:val="28"/>
        </w:rPr>
        <w:t>и прямая, но не</w:t>
      </w:r>
      <w:r>
        <w:rPr>
          <w:rFonts w:ascii="Times New Roman" w:hAnsi="Times New Roman" w:cs="Times New Roman"/>
          <w:sz w:val="28"/>
          <w:szCs w:val="28"/>
        </w:rPr>
        <w:t xml:space="preserve"> тесная- коэффициент корреляции Пирсона получился равным </w:t>
      </w:r>
      <w:r w:rsidR="00F0139F">
        <w:rPr>
          <w:rFonts w:ascii="Times New Roman" w:hAnsi="Times New Roman" w:cs="Times New Roman"/>
          <w:sz w:val="28"/>
          <w:szCs w:val="28"/>
        </w:rPr>
        <w:t>0,2748. Это говорит о том</w:t>
      </w:r>
      <w:r w:rsidR="00F0139F" w:rsidRPr="00F0139F">
        <w:rPr>
          <w:rFonts w:ascii="Times New Roman" w:hAnsi="Times New Roman" w:cs="Times New Roman"/>
          <w:sz w:val="28"/>
          <w:szCs w:val="28"/>
        </w:rPr>
        <w:t>, что общий уровень неравенства не предопределяет у</w:t>
      </w:r>
      <w:r w:rsidR="00F0139F">
        <w:rPr>
          <w:rFonts w:ascii="Times New Roman" w:hAnsi="Times New Roman" w:cs="Times New Roman"/>
          <w:sz w:val="28"/>
          <w:szCs w:val="28"/>
        </w:rPr>
        <w:t>ровень неравенства возможностей- это самостоятельный социально- экономический индикатор,</w:t>
      </w:r>
      <w:r w:rsidR="00F0139F" w:rsidRPr="00F0139F">
        <w:rPr>
          <w:rFonts w:ascii="Times New Roman" w:hAnsi="Times New Roman" w:cs="Times New Roman"/>
          <w:sz w:val="28"/>
          <w:szCs w:val="28"/>
        </w:rPr>
        <w:t xml:space="preserve"> потенциально весьма </w:t>
      </w:r>
      <w:r w:rsidR="00F0139F">
        <w:rPr>
          <w:rFonts w:ascii="Times New Roman" w:hAnsi="Times New Roman" w:cs="Times New Roman"/>
          <w:sz w:val="28"/>
          <w:szCs w:val="28"/>
        </w:rPr>
        <w:t>полезный как предиктор таких важных экономических показателей, как уровень и темпы роста реальных доходов и ВВП.</w:t>
      </w:r>
    </w:p>
    <w:p w14:paraId="71258442" w14:textId="77777777" w:rsidR="00015DCC" w:rsidRDefault="00015DCC" w:rsidP="004D7E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4FCB71" w14:textId="77777777" w:rsidR="0040187C" w:rsidRPr="003F423D" w:rsidRDefault="0040187C" w:rsidP="0040187C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01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Список</w:t>
      </w:r>
      <w:r w:rsidRPr="003F423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401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использованной</w:t>
      </w:r>
      <w:r w:rsidRPr="003F423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401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литературы</w:t>
      </w:r>
      <w:r w:rsidRPr="003F42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14:paraId="5B3C8471" w14:textId="77777777" w:rsidR="00921DCE" w:rsidRPr="004A4230" w:rsidRDefault="0040187C" w:rsidP="004A4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872F7">
        <w:rPr>
          <w:rFonts w:ascii="Times New Roman" w:hAnsi="Times New Roman" w:cs="Times New Roman"/>
          <w:sz w:val="24"/>
          <w:szCs w:val="24"/>
        </w:rPr>
        <w:t xml:space="preserve">1. </w:t>
      </w:r>
      <w:r w:rsidR="00921DCE" w:rsidRPr="004A4230">
        <w:rPr>
          <w:rFonts w:ascii="Times New Roman" w:hAnsi="Times New Roman" w:cs="Times New Roman"/>
          <w:sz w:val="24"/>
          <w:szCs w:val="24"/>
          <w:lang w:val="en-US"/>
        </w:rPr>
        <w:t>Rawls</w:t>
      </w:r>
      <w:r w:rsidR="00921DCE" w:rsidRPr="001872F7">
        <w:rPr>
          <w:rFonts w:ascii="Times New Roman" w:hAnsi="Times New Roman" w:cs="Times New Roman"/>
          <w:sz w:val="24"/>
          <w:szCs w:val="24"/>
        </w:rPr>
        <w:t xml:space="preserve"> </w:t>
      </w:r>
      <w:r w:rsidR="00921DCE" w:rsidRPr="004A4230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921DCE" w:rsidRPr="001872F7">
        <w:rPr>
          <w:rFonts w:ascii="Times New Roman" w:hAnsi="Times New Roman" w:cs="Times New Roman"/>
          <w:sz w:val="24"/>
          <w:szCs w:val="24"/>
        </w:rPr>
        <w:t xml:space="preserve">. (1971) </w:t>
      </w:r>
      <w:r w:rsidR="00921DCE" w:rsidRPr="004A4230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921DCE" w:rsidRPr="001872F7">
        <w:rPr>
          <w:rFonts w:ascii="Times New Roman" w:hAnsi="Times New Roman" w:cs="Times New Roman"/>
          <w:sz w:val="24"/>
          <w:szCs w:val="24"/>
        </w:rPr>
        <w:t xml:space="preserve"> </w:t>
      </w:r>
      <w:r w:rsidR="00921DCE" w:rsidRPr="004A4230">
        <w:rPr>
          <w:rFonts w:ascii="Times New Roman" w:hAnsi="Times New Roman" w:cs="Times New Roman"/>
          <w:sz w:val="24"/>
          <w:szCs w:val="24"/>
          <w:lang w:val="en-US"/>
        </w:rPr>
        <w:t>Theory</w:t>
      </w:r>
      <w:r w:rsidR="00921DCE" w:rsidRPr="001872F7">
        <w:rPr>
          <w:rFonts w:ascii="Times New Roman" w:hAnsi="Times New Roman" w:cs="Times New Roman"/>
          <w:sz w:val="24"/>
          <w:szCs w:val="24"/>
        </w:rPr>
        <w:t xml:space="preserve"> </w:t>
      </w:r>
      <w:r w:rsidR="00921DCE" w:rsidRPr="004A4230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921DCE" w:rsidRPr="001872F7">
        <w:rPr>
          <w:rFonts w:ascii="Times New Roman" w:hAnsi="Times New Roman" w:cs="Times New Roman"/>
          <w:sz w:val="24"/>
          <w:szCs w:val="24"/>
        </w:rPr>
        <w:t xml:space="preserve"> </w:t>
      </w:r>
      <w:r w:rsidR="00921DCE" w:rsidRPr="004A4230">
        <w:rPr>
          <w:rFonts w:ascii="Times New Roman" w:hAnsi="Times New Roman" w:cs="Times New Roman"/>
          <w:sz w:val="24"/>
          <w:szCs w:val="24"/>
          <w:lang w:val="en-US"/>
        </w:rPr>
        <w:t>Justice</w:t>
      </w:r>
      <w:r w:rsidR="00921DCE" w:rsidRPr="001872F7">
        <w:rPr>
          <w:rFonts w:ascii="Times New Roman" w:hAnsi="Times New Roman" w:cs="Times New Roman"/>
          <w:sz w:val="24"/>
          <w:szCs w:val="24"/>
        </w:rPr>
        <w:t xml:space="preserve">. </w:t>
      </w:r>
      <w:r w:rsidR="00921DCE" w:rsidRPr="004A4230">
        <w:rPr>
          <w:rFonts w:ascii="Times New Roman" w:hAnsi="Times New Roman" w:cs="Times New Roman"/>
          <w:sz w:val="24"/>
          <w:szCs w:val="24"/>
          <w:lang w:val="en-US"/>
        </w:rPr>
        <w:t>Cambridge, MA: Harvard University Press, 607 p.</w:t>
      </w:r>
    </w:p>
    <w:p w14:paraId="3BB1CD73" w14:textId="77777777" w:rsidR="00921DCE" w:rsidRPr="004A4230" w:rsidRDefault="00921DCE" w:rsidP="004A4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4230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="00BD79B4" w:rsidRPr="004A4230">
        <w:rPr>
          <w:rFonts w:ascii="Times New Roman" w:hAnsi="Times New Roman" w:cs="Times New Roman"/>
          <w:sz w:val="24"/>
          <w:szCs w:val="24"/>
          <w:lang w:val="en-US"/>
        </w:rPr>
        <w:t>Arneson R. (1989) Equality and equal opportunity for welfare. Philosophical Studies, vol. 56, iss.1, pp. 77–93.</w:t>
      </w:r>
    </w:p>
    <w:p w14:paraId="2F238BEC" w14:textId="77777777" w:rsidR="00BD79B4" w:rsidRPr="004A4230" w:rsidRDefault="00BD79B4" w:rsidP="004A4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4230">
        <w:rPr>
          <w:rFonts w:ascii="Times New Roman" w:hAnsi="Times New Roman" w:cs="Times New Roman"/>
          <w:sz w:val="24"/>
          <w:szCs w:val="24"/>
          <w:lang w:val="en-US"/>
        </w:rPr>
        <w:t>3. Cohen G. (1989) On the currency of egalitarian justice. Ethics, vol. 99, no 4, pp. 906–944.</w:t>
      </w:r>
    </w:p>
    <w:p w14:paraId="01BB99BB" w14:textId="77777777" w:rsidR="0040187C" w:rsidRPr="001872F7" w:rsidRDefault="00BD79B4" w:rsidP="004A4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872F7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r w:rsidR="00921DCE" w:rsidRPr="001872F7">
        <w:rPr>
          <w:rFonts w:ascii="Times New Roman" w:hAnsi="Times New Roman" w:cs="Times New Roman"/>
          <w:sz w:val="24"/>
          <w:szCs w:val="24"/>
          <w:lang w:val="en-US"/>
        </w:rPr>
        <w:t>Roemer, J. (1998). Equality of opportunity. USA: Harvard University Press.</w:t>
      </w:r>
    </w:p>
    <w:p w14:paraId="150548DE" w14:textId="77777777" w:rsidR="004A4230" w:rsidRPr="004A4230" w:rsidRDefault="004A4230" w:rsidP="004A4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4230">
        <w:rPr>
          <w:rFonts w:ascii="Times New Roman" w:hAnsi="Times New Roman" w:cs="Times New Roman"/>
          <w:sz w:val="24"/>
          <w:szCs w:val="24"/>
          <w:lang w:val="en-US"/>
        </w:rPr>
        <w:t xml:space="preserve">5. Ramos X., Van de Gaer D. (2016). </w:t>
      </w:r>
      <w:r w:rsidRPr="001872F7">
        <w:rPr>
          <w:rFonts w:ascii="Times New Roman" w:hAnsi="Times New Roman" w:cs="Times New Roman"/>
          <w:sz w:val="24"/>
          <w:szCs w:val="24"/>
          <w:lang w:val="en-US"/>
        </w:rPr>
        <w:t xml:space="preserve">Approaches to Inequality of Opportunity: Principles, Measures and Evidence. </w:t>
      </w:r>
      <w:r w:rsidRPr="004A4230">
        <w:rPr>
          <w:rFonts w:ascii="Times New Roman" w:hAnsi="Times New Roman" w:cs="Times New Roman"/>
          <w:sz w:val="24"/>
          <w:szCs w:val="24"/>
          <w:lang w:val="en-US"/>
        </w:rPr>
        <w:t>Journal of Economic Surveys, 30(5), 855-883.</w:t>
      </w:r>
    </w:p>
    <w:p w14:paraId="06C92D65" w14:textId="77777777" w:rsidR="00BD79B4" w:rsidRPr="001872F7" w:rsidRDefault="004A4230" w:rsidP="004A4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230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BD79B4" w:rsidRPr="004A4230">
        <w:rPr>
          <w:rFonts w:ascii="Times New Roman" w:hAnsi="Times New Roman" w:cs="Times New Roman"/>
          <w:sz w:val="24"/>
          <w:szCs w:val="24"/>
          <w:lang w:val="en-US"/>
        </w:rPr>
        <w:t>. Ferreira F., Gignoux J. (2011) The measurement of inequality of opportunity: theory and an application to Latin America. Review</w:t>
      </w:r>
      <w:r w:rsidR="00BD79B4" w:rsidRPr="001872F7">
        <w:rPr>
          <w:rFonts w:ascii="Times New Roman" w:hAnsi="Times New Roman" w:cs="Times New Roman"/>
          <w:sz w:val="24"/>
          <w:szCs w:val="24"/>
        </w:rPr>
        <w:t xml:space="preserve"> </w:t>
      </w:r>
      <w:r w:rsidR="00BD79B4" w:rsidRPr="004A4230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BD79B4" w:rsidRPr="001872F7">
        <w:rPr>
          <w:rFonts w:ascii="Times New Roman" w:hAnsi="Times New Roman" w:cs="Times New Roman"/>
          <w:sz w:val="24"/>
          <w:szCs w:val="24"/>
        </w:rPr>
        <w:t xml:space="preserve"> </w:t>
      </w:r>
      <w:r w:rsidR="00BD79B4" w:rsidRPr="004A4230">
        <w:rPr>
          <w:rFonts w:ascii="Times New Roman" w:hAnsi="Times New Roman" w:cs="Times New Roman"/>
          <w:sz w:val="24"/>
          <w:szCs w:val="24"/>
          <w:lang w:val="en-US"/>
        </w:rPr>
        <w:t>Income</w:t>
      </w:r>
      <w:r w:rsidR="00BD79B4" w:rsidRPr="001872F7">
        <w:rPr>
          <w:rFonts w:ascii="Times New Roman" w:hAnsi="Times New Roman" w:cs="Times New Roman"/>
          <w:sz w:val="24"/>
          <w:szCs w:val="24"/>
        </w:rPr>
        <w:t xml:space="preserve"> </w:t>
      </w:r>
      <w:r w:rsidR="00BD79B4" w:rsidRPr="004A4230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BD79B4" w:rsidRPr="001872F7">
        <w:rPr>
          <w:rFonts w:ascii="Times New Roman" w:hAnsi="Times New Roman" w:cs="Times New Roman"/>
          <w:sz w:val="24"/>
          <w:szCs w:val="24"/>
        </w:rPr>
        <w:t xml:space="preserve"> </w:t>
      </w:r>
      <w:r w:rsidR="00BD79B4" w:rsidRPr="004A4230">
        <w:rPr>
          <w:rFonts w:ascii="Times New Roman" w:hAnsi="Times New Roman" w:cs="Times New Roman"/>
          <w:sz w:val="24"/>
          <w:szCs w:val="24"/>
          <w:lang w:val="en-US"/>
        </w:rPr>
        <w:t>Wealth</w:t>
      </w:r>
      <w:r w:rsidR="00BD79B4" w:rsidRPr="001872F7">
        <w:rPr>
          <w:rFonts w:ascii="Times New Roman" w:hAnsi="Times New Roman" w:cs="Times New Roman"/>
          <w:sz w:val="24"/>
          <w:szCs w:val="24"/>
        </w:rPr>
        <w:t xml:space="preserve">, </w:t>
      </w:r>
      <w:r w:rsidR="00BD79B4" w:rsidRPr="004A4230">
        <w:rPr>
          <w:rFonts w:ascii="Times New Roman" w:hAnsi="Times New Roman" w:cs="Times New Roman"/>
          <w:sz w:val="24"/>
          <w:szCs w:val="24"/>
          <w:lang w:val="en-US"/>
        </w:rPr>
        <w:t>vol</w:t>
      </w:r>
      <w:r w:rsidR="00BD79B4" w:rsidRPr="001872F7">
        <w:rPr>
          <w:rFonts w:ascii="Times New Roman" w:hAnsi="Times New Roman" w:cs="Times New Roman"/>
          <w:sz w:val="24"/>
          <w:szCs w:val="24"/>
        </w:rPr>
        <w:t xml:space="preserve">. 57, </w:t>
      </w:r>
      <w:r w:rsidR="00BD79B4" w:rsidRPr="004A4230">
        <w:rPr>
          <w:rFonts w:ascii="Times New Roman" w:hAnsi="Times New Roman" w:cs="Times New Roman"/>
          <w:sz w:val="24"/>
          <w:szCs w:val="24"/>
          <w:lang w:val="en-US"/>
        </w:rPr>
        <w:t>iss</w:t>
      </w:r>
      <w:r w:rsidR="00BD79B4" w:rsidRPr="001872F7">
        <w:rPr>
          <w:rFonts w:ascii="Times New Roman" w:hAnsi="Times New Roman" w:cs="Times New Roman"/>
          <w:sz w:val="24"/>
          <w:szCs w:val="24"/>
        </w:rPr>
        <w:t xml:space="preserve">. 4, </w:t>
      </w:r>
      <w:r w:rsidR="00BD79B4" w:rsidRPr="004A4230">
        <w:rPr>
          <w:rFonts w:ascii="Times New Roman" w:hAnsi="Times New Roman" w:cs="Times New Roman"/>
          <w:sz w:val="24"/>
          <w:szCs w:val="24"/>
          <w:lang w:val="en-US"/>
        </w:rPr>
        <w:t>pp</w:t>
      </w:r>
      <w:r w:rsidR="00BD79B4" w:rsidRPr="001872F7">
        <w:rPr>
          <w:rFonts w:ascii="Times New Roman" w:hAnsi="Times New Roman" w:cs="Times New Roman"/>
          <w:sz w:val="24"/>
          <w:szCs w:val="24"/>
        </w:rPr>
        <w:t>. 622–657.</w:t>
      </w:r>
    </w:p>
    <w:p w14:paraId="55ABA53D" w14:textId="77777777" w:rsidR="001872F7" w:rsidRPr="004A4230" w:rsidRDefault="001872F7">
      <w:pPr>
        <w:pStyle w:val="3"/>
        <w:spacing w:before="0" w:beforeAutospacing="0" w:after="0" w:afterAutospacing="0"/>
        <w:ind w:firstLine="709"/>
        <w:jc w:val="both"/>
        <w:rPr>
          <w:b w:val="0"/>
          <w:i/>
          <w:sz w:val="24"/>
          <w:szCs w:val="24"/>
        </w:rPr>
      </w:pPr>
    </w:p>
    <w:sectPr w:rsidR="001872F7" w:rsidRPr="004A4230" w:rsidSect="00FB46C2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60934" w14:textId="77777777" w:rsidR="006B336B" w:rsidRDefault="006B336B" w:rsidP="00F51369">
      <w:pPr>
        <w:spacing w:after="0" w:line="240" w:lineRule="auto"/>
      </w:pPr>
      <w:r>
        <w:separator/>
      </w:r>
    </w:p>
  </w:endnote>
  <w:endnote w:type="continuationSeparator" w:id="0">
    <w:p w14:paraId="5D73459A" w14:textId="77777777" w:rsidR="006B336B" w:rsidRDefault="006B336B" w:rsidP="00F51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8E8057" w14:textId="77777777" w:rsidR="006B336B" w:rsidRDefault="006B336B" w:rsidP="00F51369">
      <w:pPr>
        <w:spacing w:after="0" w:line="240" w:lineRule="auto"/>
      </w:pPr>
      <w:r>
        <w:separator/>
      </w:r>
    </w:p>
  </w:footnote>
  <w:footnote w:type="continuationSeparator" w:id="0">
    <w:p w14:paraId="76FFBDF2" w14:textId="77777777" w:rsidR="006B336B" w:rsidRDefault="006B336B" w:rsidP="00F513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45A35"/>
    <w:multiLevelType w:val="hybridMultilevel"/>
    <w:tmpl w:val="19227010"/>
    <w:lvl w:ilvl="0" w:tplc="0582A052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5B40F4"/>
    <w:multiLevelType w:val="hybridMultilevel"/>
    <w:tmpl w:val="8766B41E"/>
    <w:lvl w:ilvl="0" w:tplc="B5A868C4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AB942C6"/>
    <w:multiLevelType w:val="hybridMultilevel"/>
    <w:tmpl w:val="F2CC2B6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B74"/>
    <w:rsid w:val="0000122D"/>
    <w:rsid w:val="00007551"/>
    <w:rsid w:val="00014A05"/>
    <w:rsid w:val="00015DCC"/>
    <w:rsid w:val="00041F0B"/>
    <w:rsid w:val="0004537E"/>
    <w:rsid w:val="0006702C"/>
    <w:rsid w:val="00087C46"/>
    <w:rsid w:val="00096779"/>
    <w:rsid w:val="000A0EE3"/>
    <w:rsid w:val="000A52B2"/>
    <w:rsid w:val="000B4642"/>
    <w:rsid w:val="000C02A6"/>
    <w:rsid w:val="00103159"/>
    <w:rsid w:val="00106BBE"/>
    <w:rsid w:val="001445B7"/>
    <w:rsid w:val="00172DDC"/>
    <w:rsid w:val="00174FD2"/>
    <w:rsid w:val="001872F7"/>
    <w:rsid w:val="00193A48"/>
    <w:rsid w:val="001E246E"/>
    <w:rsid w:val="001E57B6"/>
    <w:rsid w:val="0021746C"/>
    <w:rsid w:val="00262597"/>
    <w:rsid w:val="00262C32"/>
    <w:rsid w:val="00276B74"/>
    <w:rsid w:val="002F265B"/>
    <w:rsid w:val="00304D35"/>
    <w:rsid w:val="0032073B"/>
    <w:rsid w:val="003234EA"/>
    <w:rsid w:val="00347B94"/>
    <w:rsid w:val="0037327F"/>
    <w:rsid w:val="00375CE1"/>
    <w:rsid w:val="003A6486"/>
    <w:rsid w:val="003D0BF7"/>
    <w:rsid w:val="003E07B4"/>
    <w:rsid w:val="003E49CA"/>
    <w:rsid w:val="003F423D"/>
    <w:rsid w:val="003F63A0"/>
    <w:rsid w:val="0040187C"/>
    <w:rsid w:val="00410AE6"/>
    <w:rsid w:val="004232BB"/>
    <w:rsid w:val="00425C77"/>
    <w:rsid w:val="00446EAE"/>
    <w:rsid w:val="00467F96"/>
    <w:rsid w:val="004A4230"/>
    <w:rsid w:val="004A4CC5"/>
    <w:rsid w:val="004D031A"/>
    <w:rsid w:val="004D7E66"/>
    <w:rsid w:val="004E0824"/>
    <w:rsid w:val="004F2B08"/>
    <w:rsid w:val="00510A85"/>
    <w:rsid w:val="00530BB8"/>
    <w:rsid w:val="0055464D"/>
    <w:rsid w:val="00562501"/>
    <w:rsid w:val="00565AC2"/>
    <w:rsid w:val="00574BF4"/>
    <w:rsid w:val="0059643E"/>
    <w:rsid w:val="005C37E4"/>
    <w:rsid w:val="005D02F1"/>
    <w:rsid w:val="005E3CF5"/>
    <w:rsid w:val="005F74B1"/>
    <w:rsid w:val="00615341"/>
    <w:rsid w:val="00616AA1"/>
    <w:rsid w:val="00617AF3"/>
    <w:rsid w:val="00682E4F"/>
    <w:rsid w:val="006A7A32"/>
    <w:rsid w:val="006B336B"/>
    <w:rsid w:val="006B39E8"/>
    <w:rsid w:val="006C36C3"/>
    <w:rsid w:val="006C4676"/>
    <w:rsid w:val="006E403C"/>
    <w:rsid w:val="006F558D"/>
    <w:rsid w:val="00725E44"/>
    <w:rsid w:val="007412AD"/>
    <w:rsid w:val="00741A7B"/>
    <w:rsid w:val="0075007B"/>
    <w:rsid w:val="00755D1D"/>
    <w:rsid w:val="007572E9"/>
    <w:rsid w:val="007655CB"/>
    <w:rsid w:val="00766DD7"/>
    <w:rsid w:val="007A498F"/>
    <w:rsid w:val="007B7BC4"/>
    <w:rsid w:val="007C1AC5"/>
    <w:rsid w:val="007C78EE"/>
    <w:rsid w:val="007E7726"/>
    <w:rsid w:val="00803EAF"/>
    <w:rsid w:val="00831ADF"/>
    <w:rsid w:val="008364D8"/>
    <w:rsid w:val="008503D1"/>
    <w:rsid w:val="00870B97"/>
    <w:rsid w:val="0088109A"/>
    <w:rsid w:val="008A1B6D"/>
    <w:rsid w:val="008E471D"/>
    <w:rsid w:val="00910185"/>
    <w:rsid w:val="00914E04"/>
    <w:rsid w:val="00921DCE"/>
    <w:rsid w:val="00942B4B"/>
    <w:rsid w:val="00967740"/>
    <w:rsid w:val="009758D6"/>
    <w:rsid w:val="009844B8"/>
    <w:rsid w:val="009B2691"/>
    <w:rsid w:val="009C0142"/>
    <w:rsid w:val="009D6CE6"/>
    <w:rsid w:val="00A0582B"/>
    <w:rsid w:val="00A14989"/>
    <w:rsid w:val="00A17335"/>
    <w:rsid w:val="00A22E4D"/>
    <w:rsid w:val="00A26FB3"/>
    <w:rsid w:val="00A40F55"/>
    <w:rsid w:val="00A6065D"/>
    <w:rsid w:val="00A966EF"/>
    <w:rsid w:val="00AE01C6"/>
    <w:rsid w:val="00B01048"/>
    <w:rsid w:val="00B202E2"/>
    <w:rsid w:val="00B23BC9"/>
    <w:rsid w:val="00B23F0E"/>
    <w:rsid w:val="00B60EA3"/>
    <w:rsid w:val="00B64063"/>
    <w:rsid w:val="00B67795"/>
    <w:rsid w:val="00B80D79"/>
    <w:rsid w:val="00B84528"/>
    <w:rsid w:val="00B94B92"/>
    <w:rsid w:val="00BC1E41"/>
    <w:rsid w:val="00BD79B4"/>
    <w:rsid w:val="00C2271C"/>
    <w:rsid w:val="00C242F8"/>
    <w:rsid w:val="00C4341D"/>
    <w:rsid w:val="00C65026"/>
    <w:rsid w:val="00C74306"/>
    <w:rsid w:val="00CA4520"/>
    <w:rsid w:val="00CB5E3C"/>
    <w:rsid w:val="00CC30FB"/>
    <w:rsid w:val="00CD286E"/>
    <w:rsid w:val="00CE2595"/>
    <w:rsid w:val="00CF506A"/>
    <w:rsid w:val="00D412FE"/>
    <w:rsid w:val="00D516F7"/>
    <w:rsid w:val="00D52586"/>
    <w:rsid w:val="00D7126F"/>
    <w:rsid w:val="00D713F9"/>
    <w:rsid w:val="00D95943"/>
    <w:rsid w:val="00DA63EA"/>
    <w:rsid w:val="00DD05A3"/>
    <w:rsid w:val="00DD2CAC"/>
    <w:rsid w:val="00DD44B3"/>
    <w:rsid w:val="00DE28D2"/>
    <w:rsid w:val="00E045EC"/>
    <w:rsid w:val="00E24D2D"/>
    <w:rsid w:val="00E57074"/>
    <w:rsid w:val="00E66C09"/>
    <w:rsid w:val="00E77C92"/>
    <w:rsid w:val="00E81D01"/>
    <w:rsid w:val="00E91F12"/>
    <w:rsid w:val="00EE3966"/>
    <w:rsid w:val="00F0139F"/>
    <w:rsid w:val="00F1276D"/>
    <w:rsid w:val="00F32610"/>
    <w:rsid w:val="00F42C06"/>
    <w:rsid w:val="00F51369"/>
    <w:rsid w:val="00F71BB6"/>
    <w:rsid w:val="00FB46C2"/>
    <w:rsid w:val="00FC588F"/>
    <w:rsid w:val="00FC77C2"/>
    <w:rsid w:val="00FC795F"/>
    <w:rsid w:val="00FD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D3311"/>
  <w15:docId w15:val="{A766EA1E-471C-4C51-B594-1D71CF52E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369"/>
  </w:style>
  <w:style w:type="paragraph" w:styleId="3">
    <w:name w:val="heading 3"/>
    <w:basedOn w:val="a"/>
    <w:link w:val="30"/>
    <w:uiPriority w:val="9"/>
    <w:qFormat/>
    <w:rsid w:val="004A42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5136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51369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F5136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51369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51369"/>
    <w:rPr>
      <w:vertAlign w:val="superscript"/>
    </w:rPr>
  </w:style>
  <w:style w:type="character" w:styleId="a8">
    <w:name w:val="Placeholder Text"/>
    <w:basedOn w:val="a0"/>
    <w:uiPriority w:val="99"/>
    <w:semiHidden/>
    <w:rsid w:val="00C4341D"/>
    <w:rPr>
      <w:color w:val="808080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5007B"/>
    <w:rPr>
      <w:color w:val="605E5C"/>
      <w:shd w:val="clear" w:color="auto" w:fill="E1DFDD"/>
    </w:rPr>
  </w:style>
  <w:style w:type="paragraph" w:styleId="a9">
    <w:name w:val="Balloon Text"/>
    <w:basedOn w:val="a"/>
    <w:link w:val="aa"/>
    <w:uiPriority w:val="99"/>
    <w:semiHidden/>
    <w:unhideWhenUsed/>
    <w:rsid w:val="00015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5DCC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015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4A423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0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harbaeva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hyperlink" Target="mailto:badertdinova@mail.ru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Micro\LITS-3_MEASURES\resultat2704-34-16.xls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[resultat2704-34-16.xls]Лист4!СводнаяТаблица3</c:name>
    <c:fmtId val="-1"/>
  </c:pivotSource>
  <c:chart>
    <c:autoTitleDeleted val="0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circle"/>
          <c:size val="5"/>
          <c:spPr>
            <a:solidFill>
              <a:schemeClr val="accent1"/>
            </a:solidFill>
            <a:ln w="9525">
              <a:solidFill>
                <a:schemeClr val="accent1"/>
              </a:solidFill>
            </a:ln>
            <a:effectLst/>
          </c:spPr>
        </c:marker>
      </c:pivotFmt>
      <c:pivotFmt>
        <c:idx val="1"/>
        <c:spPr>
          <a:solidFill>
            <a:schemeClr val="accent1"/>
          </a:solidFill>
          <a:ln w="28575" cap="rnd">
            <a:noFill/>
            <a:round/>
          </a:ln>
          <a:effectLst/>
        </c:spPr>
        <c:marker>
          <c:symbol val="circle"/>
          <c:size val="5"/>
          <c:spPr>
            <a:solidFill>
              <a:schemeClr val="accent2"/>
            </a:solidFill>
            <a:ln w="9525">
              <a:solidFill>
                <a:schemeClr val="accent2"/>
              </a:solidFill>
            </a:ln>
            <a:effectLst/>
          </c:spPr>
        </c:marker>
        <c:dLbl>
          <c:idx val="0"/>
          <c:numFmt formatCode="#,##0.00" sourceLinked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  <c:showLegendKey val="0"/>
          <c:showVal val="1"/>
          <c:showCatName val="0"/>
          <c:showSerName val="0"/>
          <c:showPercent val="0"/>
          <c:showBubbleSize val="0"/>
          <c:extLst xmlns:c16r2="http://schemas.microsoft.com/office/drawing/2015/06/chart"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</c:pivotFmt>
      <c:pivotFmt>
        <c:idx val="3"/>
        <c:spPr>
          <a:solidFill>
            <a:schemeClr val="accent1"/>
          </a:solidFill>
          <a:ln w="28575" cap="rnd">
            <a:noFill/>
            <a:round/>
          </a:ln>
          <a:effectLst/>
        </c:spPr>
        <c:marker>
          <c:symbol val="circle"/>
          <c:size val="5"/>
          <c:spPr>
            <a:solidFill>
              <a:schemeClr val="accent2"/>
            </a:solidFill>
            <a:ln w="9525">
              <a:solidFill>
                <a:schemeClr val="accent2"/>
              </a:solidFill>
            </a:ln>
            <a:effectLst/>
          </c:spPr>
        </c:marker>
        <c:dLbl>
          <c:idx val="0"/>
          <c:numFmt formatCode="#,##0.00" sourceLinked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  <c:showLegendKey val="0"/>
          <c:showVal val="1"/>
          <c:showCatName val="0"/>
          <c:showSerName val="0"/>
          <c:showPercent val="0"/>
          <c:showBubbleSize val="0"/>
          <c:extLst xmlns:c16r2="http://schemas.microsoft.com/office/drawing/2015/06/chart"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</c:pivotFmt>
      <c:pivotFmt>
        <c:idx val="5"/>
        <c:spPr>
          <a:solidFill>
            <a:schemeClr val="accent1"/>
          </a:solidFill>
          <a:ln w="28575" cap="rnd">
            <a:noFill/>
            <a:round/>
          </a:ln>
          <a:effectLst/>
        </c:spPr>
        <c:marker>
          <c:symbol val="circle"/>
          <c:size val="5"/>
          <c:spPr>
            <a:solidFill>
              <a:schemeClr val="accent2"/>
            </a:solidFill>
            <a:ln w="9525">
              <a:solidFill>
                <a:schemeClr val="accent2"/>
              </a:solidFill>
            </a:ln>
            <a:effectLst/>
          </c:spPr>
        </c:marker>
        <c:dLbl>
          <c:idx val="0"/>
          <c:numFmt formatCode="#,##0.00" sourceLinked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  <c:showLegendKey val="0"/>
          <c:showVal val="1"/>
          <c:showCatName val="0"/>
          <c:showSerName val="0"/>
          <c:showPercent val="0"/>
          <c:showBubbleSize val="0"/>
          <c:extLst xmlns:c16r2="http://schemas.microsoft.com/office/drawing/2015/06/chart">
            <c:ext xmlns:c15="http://schemas.microsoft.com/office/drawing/2012/chart" uri="{CE6537A1-D6FC-4f65-9D91-7224C49458BB}"/>
          </c:extLst>
        </c:dLbl>
      </c:pivotFmt>
    </c:pivotFmts>
    <c:plotArea>
      <c:layout>
        <c:manualLayout>
          <c:layoutTarget val="inner"/>
          <c:xMode val="edge"/>
          <c:yMode val="edge"/>
          <c:x val="0.12262594518573822"/>
          <c:y val="4.0861812778603269E-2"/>
          <c:w val="0.77776176544635334"/>
          <c:h val="0.713316212516526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Лист4!$B$3:$B$4</c:f>
              <c:strCache>
                <c:ptCount val="1"/>
                <c:pt idx="0">
                  <c:v>Абсолютное НВ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Лист4!$A$5:$A$18</c:f>
              <c:strCache>
                <c:ptCount val="13"/>
                <c:pt idx="0">
                  <c:v>Эстония</c:v>
                </c:pt>
                <c:pt idx="1">
                  <c:v>Латвия</c:v>
                </c:pt>
                <c:pt idx="2">
                  <c:v>Монголия</c:v>
                </c:pt>
                <c:pt idx="3">
                  <c:v>Россия</c:v>
                </c:pt>
                <c:pt idx="4">
                  <c:v>Болгария</c:v>
                </c:pt>
                <c:pt idx="5">
                  <c:v>Литва</c:v>
                </c:pt>
                <c:pt idx="6">
                  <c:v>Казахстан</c:v>
                </c:pt>
                <c:pt idx="7">
                  <c:v>Беларусь</c:v>
                </c:pt>
                <c:pt idx="8">
                  <c:v>Венгрия</c:v>
                </c:pt>
                <c:pt idx="9">
                  <c:v>Словакия</c:v>
                </c:pt>
                <c:pt idx="10">
                  <c:v>Чехия</c:v>
                </c:pt>
                <c:pt idx="11">
                  <c:v>Хорватия</c:v>
                </c:pt>
                <c:pt idx="12">
                  <c:v>Германия</c:v>
                </c:pt>
              </c:strCache>
            </c:strRef>
          </c:cat>
          <c:val>
            <c:numRef>
              <c:f>Лист4!$B$5:$B$18</c:f>
              <c:numCache>
                <c:formatCode>General</c:formatCode>
                <c:ptCount val="13"/>
                <c:pt idx="0">
                  <c:v>3.9889852688680602E-2</c:v>
                </c:pt>
                <c:pt idx="1">
                  <c:v>2.9489942738787502E-2</c:v>
                </c:pt>
                <c:pt idx="2">
                  <c:v>2.56181494601894E-2</c:v>
                </c:pt>
                <c:pt idx="3">
                  <c:v>2.1361730605334899E-2</c:v>
                </c:pt>
                <c:pt idx="4">
                  <c:v>1.9414278523815699E-2</c:v>
                </c:pt>
                <c:pt idx="5">
                  <c:v>1.9312402771492002E-2</c:v>
                </c:pt>
                <c:pt idx="6">
                  <c:v>1.743159065239E-2</c:v>
                </c:pt>
                <c:pt idx="7">
                  <c:v>1.6548799075729301E-2</c:v>
                </c:pt>
                <c:pt idx="8">
                  <c:v>1.5644486971081902E-2</c:v>
                </c:pt>
                <c:pt idx="9">
                  <c:v>1.18274271101825E-2</c:v>
                </c:pt>
                <c:pt idx="10">
                  <c:v>1.07956846815887E-2</c:v>
                </c:pt>
                <c:pt idx="11">
                  <c:v>1.07456051444754E-2</c:v>
                </c:pt>
                <c:pt idx="12">
                  <c:v>8.2886051293458007E-3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5A6-4FED-98A0-89EC281B96C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-319540096"/>
        <c:axId val="-319539552"/>
      </c:barChart>
      <c:lineChart>
        <c:grouping val="standard"/>
        <c:varyColors val="0"/>
        <c:ser>
          <c:idx val="1"/>
          <c:order val="1"/>
          <c:tx>
            <c:strRef>
              <c:f>Лист4!$C$3:$C$4</c:f>
              <c:strCache>
                <c:ptCount val="1"/>
                <c:pt idx="0">
                  <c:v>Относительное НВ</c:v>
                </c:pt>
              </c:strCache>
            </c:strRef>
          </c:tx>
          <c:spPr>
            <a:ln w="28575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numFmt formatCode="#,##0.0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Лист4!$A$5:$A$18</c:f>
              <c:strCache>
                <c:ptCount val="13"/>
                <c:pt idx="0">
                  <c:v>Эстония</c:v>
                </c:pt>
                <c:pt idx="1">
                  <c:v>Латвия</c:v>
                </c:pt>
                <c:pt idx="2">
                  <c:v>Монголия</c:v>
                </c:pt>
                <c:pt idx="3">
                  <c:v>Россия</c:v>
                </c:pt>
                <c:pt idx="4">
                  <c:v>Болгария</c:v>
                </c:pt>
                <c:pt idx="5">
                  <c:v>Литва</c:v>
                </c:pt>
                <c:pt idx="6">
                  <c:v>Казахстан</c:v>
                </c:pt>
                <c:pt idx="7">
                  <c:v>Беларусь</c:v>
                </c:pt>
                <c:pt idx="8">
                  <c:v>Венгрия</c:v>
                </c:pt>
                <c:pt idx="9">
                  <c:v>Словакия</c:v>
                </c:pt>
                <c:pt idx="10">
                  <c:v>Чехия</c:v>
                </c:pt>
                <c:pt idx="11">
                  <c:v>Хорватия</c:v>
                </c:pt>
                <c:pt idx="12">
                  <c:v>Германия</c:v>
                </c:pt>
              </c:strCache>
            </c:strRef>
          </c:cat>
          <c:val>
            <c:numRef>
              <c:f>Лист4!$C$5:$C$18</c:f>
              <c:numCache>
                <c:formatCode>General</c:formatCode>
                <c:ptCount val="13"/>
                <c:pt idx="0">
                  <c:v>26.169906670329372</c:v>
                </c:pt>
                <c:pt idx="1">
                  <c:v>15.946175096214169</c:v>
                </c:pt>
                <c:pt idx="2">
                  <c:v>13.06839435912601</c:v>
                </c:pt>
                <c:pt idx="3">
                  <c:v>10.024843191626429</c:v>
                </c:pt>
                <c:pt idx="4">
                  <c:v>6.67994496428717</c:v>
                </c:pt>
                <c:pt idx="5">
                  <c:v>10.16115423142702</c:v>
                </c:pt>
                <c:pt idx="6">
                  <c:v>4.5382792712856874</c:v>
                </c:pt>
                <c:pt idx="7">
                  <c:v>7.1214837986599484</c:v>
                </c:pt>
                <c:pt idx="8">
                  <c:v>13.981356822313471</c:v>
                </c:pt>
                <c:pt idx="9">
                  <c:v>12.79436320958785</c:v>
                </c:pt>
                <c:pt idx="10">
                  <c:v>14.44890252937309</c:v>
                </c:pt>
                <c:pt idx="11">
                  <c:v>14.82945989478829</c:v>
                </c:pt>
                <c:pt idx="12">
                  <c:v>7.521398799817371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75A6-4FED-98A0-89EC281B96C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-319537920"/>
        <c:axId val="-319538464"/>
      </c:lineChart>
      <c:catAx>
        <c:axId val="-3195400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319539552"/>
        <c:crosses val="autoZero"/>
        <c:auto val="1"/>
        <c:lblAlgn val="ctr"/>
        <c:lblOffset val="100"/>
        <c:noMultiLvlLbl val="0"/>
      </c:catAx>
      <c:valAx>
        <c:axId val="-3195395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Абсолютное</a:t>
                </a:r>
                <a:r>
                  <a:rPr lang="ru-RU" baseline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 неравенство возможностей</a:t>
                </a:r>
                <a:endParaRPr lang="ru-RU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319540096"/>
        <c:crosses val="autoZero"/>
        <c:crossBetween val="between"/>
      </c:valAx>
      <c:valAx>
        <c:axId val="-319538464"/>
        <c:scaling>
          <c:orientation val="minMax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Относительное неравенство возможностей,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319537920"/>
        <c:crosses val="max"/>
        <c:crossBetween val="between"/>
      </c:valAx>
      <c:catAx>
        <c:axId val="-31953792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-319538464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  <c:extLst xmlns:c16r2="http://schemas.microsoft.com/office/drawing/2015/06/chart"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</c:extLst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E2DB9-17EE-4209-88B8-8FBA02361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1238</Words>
  <Characters>7063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Borodina, Ann</dc:creator>
  <cp:keywords/>
  <dc:description/>
  <cp:lastModifiedBy>Воронова Полина Александровна</cp:lastModifiedBy>
  <cp:revision>2</cp:revision>
  <dcterms:created xsi:type="dcterms:W3CDTF">2020-10-03T10:52:00Z</dcterms:created>
  <dcterms:modified xsi:type="dcterms:W3CDTF">2020-10-03T10:52:00Z</dcterms:modified>
</cp:coreProperties>
</file>